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02" w:rsidRPr="00DD666A" w:rsidRDefault="00B62BA1">
      <w:pPr>
        <w:spacing w:after="333"/>
        <w:ind w:left="23" w:right="67"/>
        <w:rPr>
          <w:b/>
          <w:color w:val="FF0000"/>
        </w:rPr>
      </w:pPr>
      <w:bookmarkStart w:id="0" w:name="_GoBack"/>
      <w:bookmarkEnd w:id="0"/>
      <w:r w:rsidRPr="00DD666A">
        <w:rPr>
          <w:b/>
          <w:color w:val="FF0000"/>
        </w:rPr>
        <w:t xml:space="preserve">Hinweise zur Meldepflicht </w:t>
      </w:r>
      <w:r w:rsidR="00192D77" w:rsidRPr="00DD666A">
        <w:rPr>
          <w:b/>
          <w:color w:val="FF0000"/>
        </w:rPr>
        <w:t xml:space="preserve">der Schule </w:t>
      </w:r>
      <w:r w:rsidRPr="00DD666A">
        <w:rPr>
          <w:b/>
          <w:color w:val="FF0000"/>
        </w:rPr>
        <w:t>bei „Datenpannen" nach Art. 33 und 34 DS</w:t>
      </w:r>
      <w:r w:rsidR="00192D77" w:rsidRPr="00DD666A">
        <w:rPr>
          <w:b/>
          <w:color w:val="FF0000"/>
        </w:rPr>
        <w:t>-</w:t>
      </w:r>
      <w:r w:rsidRPr="00DD666A">
        <w:rPr>
          <w:b/>
          <w:color w:val="FF0000"/>
        </w:rPr>
        <w:t>GVO</w:t>
      </w:r>
    </w:p>
    <w:p w:rsidR="00C66802" w:rsidRDefault="00B62BA1">
      <w:pPr>
        <w:ind w:left="23" w:right="67"/>
      </w:pPr>
      <w:r>
        <w:t xml:space="preserve">Sofern eine </w:t>
      </w:r>
      <w:r w:rsidR="00192D77">
        <w:t>Datenschutzverletzung begangen wurde</w:t>
      </w:r>
      <w:r>
        <w:t xml:space="preserve">, besteht für die verantwortliche Stelle eine </w:t>
      </w:r>
      <w:r w:rsidRPr="00192D77">
        <w:rPr>
          <w:highlight w:val="yellow"/>
        </w:rPr>
        <w:t>Meldepflicht</w:t>
      </w:r>
      <w:r>
        <w:t xml:space="preserve"> gegenüber der Aufsichtsbehörde und eine </w:t>
      </w:r>
      <w:r w:rsidRPr="00192D77">
        <w:rPr>
          <w:highlight w:val="yellow"/>
        </w:rPr>
        <w:t>Benachrichtigungspflicht</w:t>
      </w:r>
      <w:r>
        <w:t xml:space="preserve"> gegenüber der betroffenen </w:t>
      </w:r>
      <w:r w:rsidRPr="00EF5553">
        <w:rPr>
          <w:highlight w:val="yellow"/>
        </w:rPr>
        <w:t>Person.</w:t>
      </w:r>
      <w:r>
        <w:rPr>
          <w:noProof/>
        </w:rPr>
        <w:drawing>
          <wp:inline distT="0" distB="0" distL="0" distR="0">
            <wp:extent cx="70109" cy="18289"/>
            <wp:effectExtent l="0" t="0" r="0" b="0"/>
            <wp:docPr id="9925" name="Picture 9925"/>
            <wp:cNvGraphicFramePr/>
            <a:graphic xmlns:a="http://schemas.openxmlformats.org/drawingml/2006/main">
              <a:graphicData uri="http://schemas.openxmlformats.org/drawingml/2006/picture">
                <pic:pic xmlns:pic="http://schemas.openxmlformats.org/drawingml/2006/picture">
                  <pic:nvPicPr>
                    <pic:cNvPr id="9925" name="Picture 9925"/>
                    <pic:cNvPicPr/>
                  </pic:nvPicPr>
                  <pic:blipFill>
                    <a:blip r:embed="rId6"/>
                    <a:stretch>
                      <a:fillRect/>
                    </a:stretch>
                  </pic:blipFill>
                  <pic:spPr>
                    <a:xfrm>
                      <a:off x="0" y="0"/>
                      <a:ext cx="70109" cy="18289"/>
                    </a:xfrm>
                    <a:prstGeom prst="rect">
                      <a:avLst/>
                    </a:prstGeom>
                  </pic:spPr>
                </pic:pic>
              </a:graphicData>
            </a:graphic>
          </wp:inline>
        </w:drawing>
      </w:r>
    </w:p>
    <w:p w:rsidR="00C66802" w:rsidRDefault="00B62BA1">
      <w:pPr>
        <w:spacing w:after="353"/>
        <w:ind w:left="23" w:right="67"/>
      </w:pPr>
      <w:r>
        <w:t xml:space="preserve">Eine </w:t>
      </w:r>
      <w:r w:rsidR="00192D77">
        <w:t xml:space="preserve">derartige </w:t>
      </w:r>
      <w:r>
        <w:t xml:space="preserve">Verletzung kann beispielsweise </w:t>
      </w:r>
      <w:r w:rsidR="00192D77">
        <w:t>eine</w:t>
      </w:r>
      <w:r>
        <w:t xml:space="preserve"> fehlerhafte Übermittlung</w:t>
      </w:r>
      <w:r w:rsidR="00192D77">
        <w:t xml:space="preserve"> personenbezogener eines Schülers oder einer Lehrkraft sein (Verwendung einer falschen E-Mailadresse)</w:t>
      </w:r>
      <w:r>
        <w:t xml:space="preserve">, durch Datendiebstahl </w:t>
      </w:r>
      <w:r w:rsidR="00192D77">
        <w:t xml:space="preserve">erfolgen </w:t>
      </w:r>
      <w:r>
        <w:t xml:space="preserve">oder durch </w:t>
      </w:r>
      <w:r w:rsidR="00192D77">
        <w:t xml:space="preserve">das </w:t>
      </w:r>
      <w:r>
        <w:t>Verlieren eines Datenträgers geschehen.</w:t>
      </w:r>
    </w:p>
    <w:p w:rsidR="00C66802" w:rsidRPr="00DD666A" w:rsidRDefault="00B62BA1">
      <w:pPr>
        <w:spacing w:after="3" w:line="259" w:lineRule="auto"/>
        <w:ind w:left="19" w:hanging="10"/>
        <w:jc w:val="left"/>
        <w:rPr>
          <w:b/>
          <w:color w:val="4472C4" w:themeColor="accent5"/>
        </w:rPr>
      </w:pPr>
      <w:r w:rsidRPr="00DD666A">
        <w:rPr>
          <w:b/>
          <w:color w:val="4472C4" w:themeColor="accent5"/>
          <w:sz w:val="28"/>
        </w:rPr>
        <w:t>1. Meldung an die Aufsichtsbehörde</w:t>
      </w:r>
    </w:p>
    <w:p w:rsidR="00C66802" w:rsidRDefault="00B62BA1" w:rsidP="00EF5553">
      <w:pPr>
        <w:ind w:left="23" w:right="67"/>
      </w:pPr>
      <w:r>
        <w:t xml:space="preserve">Eine Meldung </w:t>
      </w:r>
      <w:r w:rsidRPr="00192D77">
        <w:rPr>
          <w:highlight w:val="yellow"/>
        </w:rPr>
        <w:t>muss</w:t>
      </w:r>
      <w:r>
        <w:t xml:space="preserve"> erfolgen, sofern eine </w:t>
      </w:r>
      <w:r w:rsidR="00192D77">
        <w:t>Datenschutzv</w:t>
      </w:r>
      <w:r>
        <w:t xml:space="preserve">erletzung </w:t>
      </w:r>
      <w:r w:rsidR="00192D77">
        <w:t xml:space="preserve">(also z.B. der Verlust personenbezogener </w:t>
      </w:r>
      <w:r>
        <w:t>Daten</w:t>
      </w:r>
      <w:r w:rsidR="00192D77">
        <w:t>) festgestellt worden ist</w:t>
      </w:r>
      <w:r>
        <w:t xml:space="preserve"> und diese voraussichtlich zu einem Risiko für die Rechte und Freiheiten </w:t>
      </w:r>
      <w:r w:rsidR="00EF5553">
        <w:t>eines Betroffenen führen kann</w:t>
      </w:r>
      <w:r>
        <w:t>. D</w:t>
      </w:r>
      <w:r w:rsidR="00EF5553">
        <w:t>avon ist zumeist auszugehen, weil</w:t>
      </w:r>
      <w:r>
        <w:rPr>
          <w:noProof/>
        </w:rPr>
        <w:drawing>
          <wp:anchor distT="0" distB="0" distL="114300" distR="114300" simplePos="0" relativeHeight="251658240" behindDoc="0" locked="0" layoutInCell="1" allowOverlap="0">
            <wp:simplePos x="0" y="0"/>
            <wp:positionH relativeFrom="page">
              <wp:posOffset>518195</wp:posOffset>
            </wp:positionH>
            <wp:positionV relativeFrom="page">
              <wp:posOffset>3295045</wp:posOffset>
            </wp:positionV>
            <wp:extent cx="9145" cy="9144"/>
            <wp:effectExtent l="0" t="0" r="0" b="0"/>
            <wp:wrapSquare wrapText="bothSides"/>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7"/>
                    <a:stretch>
                      <a:fillRect/>
                    </a:stretch>
                  </pic:blipFill>
                  <pic:spPr>
                    <a:xfrm>
                      <a:off x="0" y="0"/>
                      <a:ext cx="9145" cy="9144"/>
                    </a:xfrm>
                    <a:prstGeom prst="rect">
                      <a:avLst/>
                    </a:prstGeom>
                  </pic:spPr>
                </pic:pic>
              </a:graphicData>
            </a:graphic>
          </wp:anchor>
        </w:drawing>
      </w:r>
      <w:r>
        <w:t xml:space="preserve"> bei den meisten </w:t>
      </w:r>
      <w:r w:rsidR="00EF5553">
        <w:t>Ereignissen</w:t>
      </w:r>
      <w:r>
        <w:t xml:space="preserve"> </w:t>
      </w:r>
      <w:r w:rsidR="00EF5553">
        <w:t xml:space="preserve">ein derartiges Risiko </w:t>
      </w:r>
      <w:r>
        <w:t>nicht aus</w:t>
      </w:r>
      <w:r w:rsidR="00EF5553">
        <w:t xml:space="preserve">geschlossen werden kann. </w:t>
      </w:r>
      <w:r>
        <w:t xml:space="preserve">Anderenfalls ist der Ausschluss des Risikos nachzuweisen („Rechenschaftspflicht"). </w:t>
      </w:r>
      <w:r>
        <w:rPr>
          <w:noProof/>
        </w:rPr>
        <w:drawing>
          <wp:inline distT="0" distB="0" distL="0" distR="0">
            <wp:extent cx="18289" cy="24385"/>
            <wp:effectExtent l="0" t="0" r="0" b="0"/>
            <wp:docPr id="1532" name="Picture 1532"/>
            <wp:cNvGraphicFramePr/>
            <a:graphic xmlns:a="http://schemas.openxmlformats.org/drawingml/2006/main">
              <a:graphicData uri="http://schemas.openxmlformats.org/drawingml/2006/picture">
                <pic:pic xmlns:pic="http://schemas.openxmlformats.org/drawingml/2006/picture">
                  <pic:nvPicPr>
                    <pic:cNvPr id="1532" name="Picture 1532"/>
                    <pic:cNvPicPr/>
                  </pic:nvPicPr>
                  <pic:blipFill>
                    <a:blip r:embed="rId8"/>
                    <a:stretch>
                      <a:fillRect/>
                    </a:stretch>
                  </pic:blipFill>
                  <pic:spPr>
                    <a:xfrm>
                      <a:off x="0" y="0"/>
                      <a:ext cx="18289" cy="24385"/>
                    </a:xfrm>
                    <a:prstGeom prst="rect">
                      <a:avLst/>
                    </a:prstGeom>
                  </pic:spPr>
                </pic:pic>
              </a:graphicData>
            </a:graphic>
          </wp:inline>
        </w:drawing>
      </w:r>
    </w:p>
    <w:p w:rsidR="00EF5553" w:rsidRDefault="00EF5553" w:rsidP="00EF5553">
      <w:pPr>
        <w:ind w:left="23" w:right="67"/>
      </w:pPr>
    </w:p>
    <w:p w:rsidR="00C66802" w:rsidRDefault="00D80DAE">
      <w:pPr>
        <w:spacing w:after="3" w:line="259" w:lineRule="auto"/>
        <w:ind w:left="19" w:hanging="10"/>
        <w:jc w:val="left"/>
      </w:pPr>
      <w:r>
        <w:rPr>
          <w:sz w:val="28"/>
        </w:rPr>
        <w:t xml:space="preserve">1.1 </w:t>
      </w:r>
      <w:r w:rsidR="00B62BA1">
        <w:rPr>
          <w:sz w:val="28"/>
        </w:rPr>
        <w:t>Inhalt der Meldung:</w:t>
      </w:r>
    </w:p>
    <w:tbl>
      <w:tblPr>
        <w:tblStyle w:val="TableGrid"/>
        <w:tblW w:w="7633" w:type="dxa"/>
        <w:tblInd w:w="437" w:type="dxa"/>
        <w:tblCellMar>
          <w:top w:w="104" w:type="dxa"/>
          <w:right w:w="163" w:type="dxa"/>
        </w:tblCellMar>
        <w:tblLook w:val="04A0" w:firstRow="1" w:lastRow="0" w:firstColumn="1" w:lastColumn="0" w:noHBand="0" w:noVBand="1"/>
      </w:tblPr>
      <w:tblGrid>
        <w:gridCol w:w="452"/>
        <w:gridCol w:w="7181"/>
      </w:tblGrid>
      <w:tr w:rsidR="00C66802">
        <w:trPr>
          <w:trHeight w:val="4531"/>
        </w:trPr>
        <w:tc>
          <w:tcPr>
            <w:tcW w:w="446" w:type="dxa"/>
            <w:tcBorders>
              <w:top w:val="single" w:sz="2" w:space="0" w:color="000000"/>
              <w:left w:val="single" w:sz="2" w:space="0" w:color="000000"/>
              <w:bottom w:val="single" w:sz="2" w:space="0" w:color="000000"/>
              <w:right w:val="nil"/>
            </w:tcBorders>
          </w:tcPr>
          <w:p w:rsidR="00C66802" w:rsidRPr="00EF5553" w:rsidRDefault="00B62BA1">
            <w:pPr>
              <w:spacing w:after="1407" w:line="259" w:lineRule="auto"/>
              <w:ind w:left="130" w:firstLine="0"/>
              <w:jc w:val="left"/>
              <w:rPr>
                <w:color w:val="auto"/>
              </w:rPr>
            </w:pPr>
            <w:r w:rsidRPr="00EF5553">
              <w:rPr>
                <w:color w:val="auto"/>
                <w:sz w:val="24"/>
              </w:rPr>
              <w:t>1 .</w:t>
            </w:r>
          </w:p>
          <w:p w:rsidR="00C66802" w:rsidRPr="00EF5553" w:rsidRDefault="00B62BA1">
            <w:pPr>
              <w:spacing w:after="375" w:line="259" w:lineRule="auto"/>
              <w:ind w:left="106" w:firstLine="0"/>
              <w:jc w:val="left"/>
              <w:rPr>
                <w:color w:val="auto"/>
              </w:rPr>
            </w:pPr>
            <w:r w:rsidRPr="00EF5553">
              <w:rPr>
                <w:color w:val="auto"/>
                <w:sz w:val="24"/>
              </w:rPr>
              <w:t>2.</w:t>
            </w:r>
          </w:p>
          <w:p w:rsidR="00C66802" w:rsidRPr="00EF5553" w:rsidRDefault="00B62BA1">
            <w:pPr>
              <w:spacing w:after="375" w:line="259" w:lineRule="auto"/>
              <w:ind w:left="106" w:firstLine="0"/>
              <w:jc w:val="left"/>
              <w:rPr>
                <w:color w:val="auto"/>
              </w:rPr>
            </w:pPr>
            <w:r w:rsidRPr="00EF5553">
              <w:rPr>
                <w:color w:val="auto"/>
                <w:sz w:val="24"/>
              </w:rPr>
              <w:t>3.</w:t>
            </w:r>
          </w:p>
          <w:p w:rsidR="00C66802" w:rsidRPr="00EF5553" w:rsidRDefault="00B62BA1">
            <w:pPr>
              <w:spacing w:after="0" w:line="259" w:lineRule="auto"/>
              <w:ind w:left="96" w:firstLine="0"/>
              <w:jc w:val="left"/>
              <w:rPr>
                <w:color w:val="auto"/>
              </w:rPr>
            </w:pPr>
            <w:r w:rsidRPr="00EF5553">
              <w:rPr>
                <w:color w:val="auto"/>
                <w:sz w:val="24"/>
              </w:rPr>
              <w:t>4.</w:t>
            </w:r>
          </w:p>
        </w:tc>
        <w:tc>
          <w:tcPr>
            <w:tcW w:w="7186" w:type="dxa"/>
            <w:tcBorders>
              <w:top w:val="single" w:sz="2" w:space="0" w:color="000000"/>
              <w:left w:val="nil"/>
              <w:bottom w:val="single" w:sz="2" w:space="0" w:color="000000"/>
              <w:right w:val="single" w:sz="2" w:space="0" w:color="000000"/>
            </w:tcBorders>
          </w:tcPr>
          <w:p w:rsidR="00C66802" w:rsidRPr="00EF5553" w:rsidRDefault="00B62BA1" w:rsidP="00EF5553">
            <w:pPr>
              <w:spacing w:after="13" w:line="292" w:lineRule="auto"/>
              <w:ind w:left="5" w:firstLine="14"/>
              <w:rPr>
                <w:color w:val="auto"/>
              </w:rPr>
            </w:pPr>
            <w:r w:rsidRPr="00EF5553">
              <w:rPr>
                <w:color w:val="auto"/>
                <w:sz w:val="24"/>
              </w:rPr>
              <w:t>Beschreibung der Art der Verletzung des Schu</w:t>
            </w:r>
            <w:r w:rsidR="00EF5553" w:rsidRPr="00EF5553">
              <w:rPr>
                <w:color w:val="auto"/>
                <w:sz w:val="24"/>
              </w:rPr>
              <w:t>tz</w:t>
            </w:r>
            <w:r w:rsidRPr="00EF5553">
              <w:rPr>
                <w:color w:val="auto"/>
                <w:sz w:val="24"/>
              </w:rPr>
              <w:t>es personenbezogener Daten, soweit möglich mit Angabe der Kategorien der Daten und der ungefähren Zahl der betroffenen Personen, der betroffenen Kategorien der Personen und der ungefähren Zahl der betroffenen personenbezogenen Datensätze,</w:t>
            </w:r>
            <w:r w:rsidR="00EF5553" w:rsidRPr="00EF5553">
              <w:rPr>
                <w:color w:val="auto"/>
                <w:sz w:val="24"/>
              </w:rPr>
              <w:t xml:space="preserve"> </w:t>
            </w:r>
            <w:r w:rsidRPr="00EF5553">
              <w:rPr>
                <w:color w:val="auto"/>
                <w:sz w:val="24"/>
              </w:rPr>
              <w:t>Name und Kontaktdaten des Datenschutzbeauftragten oder einer sonstigen</w:t>
            </w:r>
            <w:r w:rsidR="00EF5553">
              <w:rPr>
                <w:color w:val="auto"/>
                <w:sz w:val="24"/>
              </w:rPr>
              <w:t xml:space="preserve"> </w:t>
            </w:r>
            <w:r w:rsidRPr="00EF5553">
              <w:rPr>
                <w:color w:val="auto"/>
                <w:sz w:val="22"/>
              </w:rPr>
              <w:t>Anlaufstelle für weitere Informationen,</w:t>
            </w:r>
          </w:p>
          <w:p w:rsidR="00C66802" w:rsidRPr="00EF5553" w:rsidRDefault="00B62BA1">
            <w:pPr>
              <w:spacing w:after="26" w:line="286" w:lineRule="auto"/>
              <w:ind w:left="10" w:firstLine="5"/>
              <w:rPr>
                <w:color w:val="auto"/>
              </w:rPr>
            </w:pPr>
            <w:r w:rsidRPr="00EF5553">
              <w:rPr>
                <w:color w:val="auto"/>
                <w:sz w:val="24"/>
              </w:rPr>
              <w:t>Beschreibung der wahrscheinlichen Folgen</w:t>
            </w:r>
            <w:r w:rsidR="00EF5553">
              <w:rPr>
                <w:color w:val="auto"/>
                <w:sz w:val="24"/>
              </w:rPr>
              <w:t>,</w:t>
            </w:r>
          </w:p>
          <w:p w:rsidR="00C66802" w:rsidRPr="00EF5553" w:rsidRDefault="00B62BA1">
            <w:pPr>
              <w:spacing w:after="0" w:line="259" w:lineRule="auto"/>
              <w:ind w:left="0" w:firstLine="10"/>
              <w:jc w:val="left"/>
              <w:rPr>
                <w:color w:val="auto"/>
              </w:rPr>
            </w:pPr>
            <w:r w:rsidRPr="00EF5553">
              <w:rPr>
                <w:color w:val="auto"/>
                <w:sz w:val="24"/>
              </w:rPr>
              <w:t>Beschreibung der von der verantwortlichen Stelle ergriffenen oder vorgeschlagenen Maßnahmen zur Behebung der Verletzung des Schutzes personenbezogener Daten und gegebenenfalls Maßnahmen zur Abmilderung ihrer möglichen nachteiligen Auswirkungen.</w:t>
            </w:r>
          </w:p>
        </w:tc>
      </w:tr>
    </w:tbl>
    <w:p w:rsidR="00C66802" w:rsidRDefault="00B62BA1">
      <w:pPr>
        <w:spacing w:after="815" w:line="263" w:lineRule="auto"/>
        <w:ind w:left="10" w:hanging="15"/>
        <w:jc w:val="left"/>
        <w:rPr>
          <w:sz w:val="24"/>
        </w:rPr>
      </w:pPr>
      <w:r>
        <w:rPr>
          <w:sz w:val="24"/>
        </w:rPr>
        <w:t>Die Aufsichtsbehörde ist der „</w:t>
      </w:r>
      <w:r w:rsidR="00EF5553">
        <w:rPr>
          <w:sz w:val="24"/>
        </w:rPr>
        <w:t xml:space="preserve">Hessische Beauftragte für </w:t>
      </w:r>
      <w:r>
        <w:rPr>
          <w:sz w:val="24"/>
        </w:rPr>
        <w:t xml:space="preserve">Datenschutz und </w:t>
      </w:r>
      <w:r w:rsidR="00EF5553">
        <w:rPr>
          <w:sz w:val="24"/>
        </w:rPr>
        <w:t>Informationsfreiheit</w:t>
      </w:r>
      <w:r>
        <w:rPr>
          <w:sz w:val="24"/>
        </w:rPr>
        <w:t xml:space="preserve"> (</w:t>
      </w:r>
      <w:r w:rsidR="00EF5553">
        <w:rPr>
          <w:sz w:val="24"/>
        </w:rPr>
        <w:t>HBDI</w:t>
      </w:r>
      <w:r>
        <w:rPr>
          <w:sz w:val="24"/>
        </w:rPr>
        <w:t>)</w:t>
      </w:r>
      <w:r w:rsidR="00DD666A">
        <w:rPr>
          <w:sz w:val="24"/>
        </w:rPr>
        <w:t>.</w:t>
      </w:r>
    </w:p>
    <w:p w:rsidR="00DD666A" w:rsidRDefault="00DD666A">
      <w:pPr>
        <w:spacing w:after="815" w:line="263" w:lineRule="auto"/>
        <w:ind w:left="10" w:hanging="15"/>
        <w:jc w:val="left"/>
      </w:pPr>
      <w:r>
        <w:rPr>
          <w:sz w:val="24"/>
        </w:rPr>
        <w:t xml:space="preserve">Die Anschrift lautet: </w:t>
      </w:r>
      <w:proofErr w:type="gramStart"/>
      <w:r>
        <w:rPr>
          <w:sz w:val="24"/>
        </w:rPr>
        <w:t>………………………………………………………..</w:t>
      </w:r>
      <w:proofErr w:type="gramEnd"/>
    </w:p>
    <w:p w:rsidR="00D80DAE" w:rsidRDefault="00D80DAE">
      <w:pPr>
        <w:spacing w:after="3" w:line="259" w:lineRule="auto"/>
        <w:ind w:left="19" w:hanging="10"/>
        <w:jc w:val="left"/>
        <w:rPr>
          <w:sz w:val="28"/>
        </w:rPr>
      </w:pPr>
    </w:p>
    <w:p w:rsidR="00DD666A" w:rsidRDefault="00DD666A">
      <w:pPr>
        <w:spacing w:after="3" w:line="259" w:lineRule="auto"/>
        <w:ind w:left="19" w:hanging="10"/>
        <w:jc w:val="left"/>
        <w:rPr>
          <w:sz w:val="28"/>
        </w:rPr>
      </w:pPr>
    </w:p>
    <w:p w:rsidR="00DD666A" w:rsidRDefault="00DD666A">
      <w:pPr>
        <w:spacing w:after="3" w:line="259" w:lineRule="auto"/>
        <w:ind w:left="19" w:hanging="10"/>
        <w:jc w:val="left"/>
        <w:rPr>
          <w:sz w:val="28"/>
        </w:rPr>
      </w:pPr>
    </w:p>
    <w:p w:rsidR="00C66802" w:rsidRDefault="00D80DAE">
      <w:pPr>
        <w:spacing w:after="3" w:line="259" w:lineRule="auto"/>
        <w:ind w:left="19" w:hanging="10"/>
        <w:jc w:val="left"/>
      </w:pPr>
      <w:r>
        <w:rPr>
          <w:sz w:val="28"/>
        </w:rPr>
        <w:t xml:space="preserve">1.2 </w:t>
      </w:r>
      <w:r w:rsidR="00B62BA1">
        <w:rPr>
          <w:sz w:val="28"/>
        </w:rPr>
        <w:t>Zeitpunkt der Meldung</w:t>
      </w:r>
    </w:p>
    <w:p w:rsidR="00C66802" w:rsidRDefault="00B62BA1">
      <w:pPr>
        <w:ind w:left="23" w:right="67"/>
      </w:pPr>
      <w:r>
        <w:t>Eine Meldung der Datenpanne muss innerhalb von 72 Stunden erfolgen. Das Überschreiten der Frist ist nur in begründeten Fällen möglich. Die Begründung ist der verzögerten Meldung beizufügen.</w:t>
      </w:r>
    </w:p>
    <w:p w:rsidR="00C66802" w:rsidRDefault="00B62BA1">
      <w:pPr>
        <w:spacing w:after="341" w:line="263" w:lineRule="auto"/>
        <w:ind w:left="10" w:hanging="15"/>
        <w:jc w:val="left"/>
      </w:pPr>
      <w:r>
        <w:rPr>
          <w:sz w:val="24"/>
        </w:rPr>
        <w:t>Liegen die für die Meldung erforderlichen Informationen im Meldezeitraum noch nicht vollständig vor, sind diese schrittweise zur Verfügung zu stellen.</w:t>
      </w:r>
    </w:p>
    <w:p w:rsidR="00C66802" w:rsidRPr="00DD666A" w:rsidRDefault="00B62BA1">
      <w:pPr>
        <w:numPr>
          <w:ilvl w:val="0"/>
          <w:numId w:val="1"/>
        </w:numPr>
        <w:spacing w:after="3" w:line="259" w:lineRule="auto"/>
        <w:ind w:hanging="350"/>
        <w:rPr>
          <w:b/>
          <w:color w:val="4472C4" w:themeColor="accent5"/>
        </w:rPr>
      </w:pPr>
      <w:r w:rsidRPr="00DD666A">
        <w:rPr>
          <w:b/>
          <w:color w:val="4472C4" w:themeColor="accent5"/>
          <w:sz w:val="28"/>
        </w:rPr>
        <w:t>Benachrichtigung der betroffenen Person</w:t>
      </w:r>
    </w:p>
    <w:p w:rsidR="00C66802" w:rsidRDefault="00B62BA1">
      <w:pPr>
        <w:spacing w:after="361" w:line="266" w:lineRule="auto"/>
        <w:ind w:left="0" w:firstLine="19"/>
        <w:jc w:val="left"/>
      </w:pPr>
      <w:r>
        <w:t xml:space="preserve">Eine Benachrichtigung muss erfolgen, sofern eine Verletzung des Schutzes personenbezogener Daten stattgefunden hat und diese voraussichtlich zu einem </w:t>
      </w:r>
      <w:r>
        <w:rPr>
          <w:u w:val="single" w:color="000000"/>
        </w:rPr>
        <w:t>hohen</w:t>
      </w:r>
      <w:r>
        <w:t xml:space="preserve"> Risiko für die Rechte und Freiheiten natürlicher Personen führt. Dies ist u. a. dann der Fall, wenn sog. besondere Kategorien personenbezogener Daten nach Art. 9 Abs. 1 DS</w:t>
      </w:r>
      <w:r w:rsidR="00DD666A">
        <w:t>-</w:t>
      </w:r>
      <w:r>
        <w:t xml:space="preserve">GVO </w:t>
      </w:r>
      <w:r w:rsidR="00DD666A">
        <w:t xml:space="preserve">(z.B. Gesundheitsdaten, Daten über die rassische </w:t>
      </w:r>
      <w:r>
        <w:t xml:space="preserve">oder </w:t>
      </w:r>
      <w:r w:rsidR="00DD666A">
        <w:t xml:space="preserve">ethnische Herkunft) oder </w:t>
      </w:r>
      <w:r>
        <w:t xml:space="preserve">Daten über schulische Leistungen (Noten, Kompetenzen, Beurteilungen) einer Schülerin </w:t>
      </w:r>
      <w:r w:rsidR="00DD666A">
        <w:t>oder</w:t>
      </w:r>
      <w:r>
        <w:t xml:space="preserve"> eines Schülers betroffen sind.</w:t>
      </w:r>
    </w:p>
    <w:p w:rsidR="00C66802" w:rsidRDefault="00B62BA1">
      <w:pPr>
        <w:ind w:left="23" w:right="67"/>
      </w:pPr>
      <w:r>
        <w:t>Keine Benachrichtigung ist erforderlich, wenn</w:t>
      </w:r>
    </w:p>
    <w:p w:rsidR="00DD666A" w:rsidRDefault="00B62BA1">
      <w:pPr>
        <w:spacing w:after="258"/>
        <w:ind w:left="346" w:right="67"/>
      </w:pPr>
      <w:r>
        <w:t xml:space="preserve">• die </w:t>
      </w:r>
      <w:r w:rsidR="00DD666A">
        <w:t>Schule</w:t>
      </w:r>
      <w:r>
        <w:t xml:space="preserve"> geeignete technische und organisatorische Sicherheitsvorkehrungen getroffen hat, die den Unbefugten Zugang auf </w:t>
      </w:r>
      <w:r>
        <w:rPr>
          <w:noProof/>
        </w:rPr>
        <w:drawing>
          <wp:inline distT="0" distB="0" distL="0" distR="0">
            <wp:extent cx="3048" cy="12193"/>
            <wp:effectExtent l="0" t="0" r="0" b="0"/>
            <wp:docPr id="3411" name="Picture 3411"/>
            <wp:cNvGraphicFramePr/>
            <a:graphic xmlns:a="http://schemas.openxmlformats.org/drawingml/2006/main">
              <a:graphicData uri="http://schemas.openxmlformats.org/drawingml/2006/picture">
                <pic:pic xmlns:pic="http://schemas.openxmlformats.org/drawingml/2006/picture">
                  <pic:nvPicPr>
                    <pic:cNvPr id="3411" name="Picture 3411"/>
                    <pic:cNvPicPr/>
                  </pic:nvPicPr>
                  <pic:blipFill>
                    <a:blip r:embed="rId9"/>
                    <a:stretch>
                      <a:fillRect/>
                    </a:stretch>
                  </pic:blipFill>
                  <pic:spPr>
                    <a:xfrm>
                      <a:off x="0" y="0"/>
                      <a:ext cx="3048" cy="12193"/>
                    </a:xfrm>
                    <a:prstGeom prst="rect">
                      <a:avLst/>
                    </a:prstGeom>
                  </pic:spPr>
                </pic:pic>
              </a:graphicData>
            </a:graphic>
          </wp:inline>
        </w:drawing>
      </w:r>
      <w:r>
        <w:t>die personenbezogenen Daten praktisch nicht ermöglichen, etwa durch Verschlüsselung der Daten,</w:t>
      </w:r>
    </w:p>
    <w:p w:rsidR="00DD666A" w:rsidRDefault="00B62BA1">
      <w:pPr>
        <w:spacing w:after="258"/>
        <w:ind w:left="346" w:right="67"/>
      </w:pPr>
      <w:r>
        <w:t xml:space="preserve"> </w:t>
      </w:r>
      <w:r>
        <w:rPr>
          <w:noProof/>
        </w:rPr>
        <w:drawing>
          <wp:inline distT="0" distB="0" distL="0" distR="0">
            <wp:extent cx="57916" cy="54866"/>
            <wp:effectExtent l="0" t="0" r="0" b="0"/>
            <wp:docPr id="3412" name="Picture 3412"/>
            <wp:cNvGraphicFramePr/>
            <a:graphic xmlns:a="http://schemas.openxmlformats.org/drawingml/2006/main">
              <a:graphicData uri="http://schemas.openxmlformats.org/drawingml/2006/picture">
                <pic:pic xmlns:pic="http://schemas.openxmlformats.org/drawingml/2006/picture">
                  <pic:nvPicPr>
                    <pic:cNvPr id="3412" name="Picture 3412"/>
                    <pic:cNvPicPr/>
                  </pic:nvPicPr>
                  <pic:blipFill>
                    <a:blip r:embed="rId10"/>
                    <a:stretch>
                      <a:fillRect/>
                    </a:stretch>
                  </pic:blipFill>
                  <pic:spPr>
                    <a:xfrm>
                      <a:off x="0" y="0"/>
                      <a:ext cx="57916" cy="54866"/>
                    </a:xfrm>
                    <a:prstGeom prst="rect">
                      <a:avLst/>
                    </a:prstGeom>
                  </pic:spPr>
                </pic:pic>
              </a:graphicData>
            </a:graphic>
          </wp:inline>
        </w:drawing>
      </w:r>
      <w:r>
        <w:t xml:space="preserve"> die </w:t>
      </w:r>
      <w:r w:rsidR="00DD666A">
        <w:t>Schule</w:t>
      </w:r>
      <w:r>
        <w:t xml:space="preserve"> durch Maßnahmen sichergestellt hat, dass das hohe Risiko, das zum Zeitpunkt der Datenpanne bestand, beseitigt wurde, </w:t>
      </w:r>
    </w:p>
    <w:p w:rsidR="00C66802" w:rsidRDefault="00B62BA1">
      <w:pPr>
        <w:spacing w:after="258"/>
        <w:ind w:left="346" w:right="67"/>
      </w:pPr>
      <w:r>
        <w:rPr>
          <w:noProof/>
        </w:rPr>
        <w:drawing>
          <wp:inline distT="0" distB="0" distL="0" distR="0">
            <wp:extent cx="57916" cy="54866"/>
            <wp:effectExtent l="0" t="0" r="0" b="0"/>
            <wp:docPr id="3413" name="Picture 3413"/>
            <wp:cNvGraphicFramePr/>
            <a:graphic xmlns:a="http://schemas.openxmlformats.org/drawingml/2006/main">
              <a:graphicData uri="http://schemas.openxmlformats.org/drawingml/2006/picture">
                <pic:pic xmlns:pic="http://schemas.openxmlformats.org/drawingml/2006/picture">
                  <pic:nvPicPr>
                    <pic:cNvPr id="3413" name="Picture 3413"/>
                    <pic:cNvPicPr/>
                  </pic:nvPicPr>
                  <pic:blipFill>
                    <a:blip r:embed="rId11"/>
                    <a:stretch>
                      <a:fillRect/>
                    </a:stretch>
                  </pic:blipFill>
                  <pic:spPr>
                    <a:xfrm>
                      <a:off x="0" y="0"/>
                      <a:ext cx="57916" cy="54866"/>
                    </a:xfrm>
                    <a:prstGeom prst="rect">
                      <a:avLst/>
                    </a:prstGeom>
                  </pic:spPr>
                </pic:pic>
              </a:graphicData>
            </a:graphic>
          </wp:inline>
        </w:drawing>
      </w:r>
      <w:r>
        <w:t xml:space="preserve"> die Benachrichtigung mit einem unverhältnismäßigen Aufwand verbunden wäre. Stattdessen muss eine öffentliche Bekanntmachung oder ähnliche Maßnahme erfolgen, durch die die betroffene Person vergleichbar wirksam informiert wird.</w:t>
      </w:r>
    </w:p>
    <w:p w:rsidR="00C66802" w:rsidRDefault="00B62BA1">
      <w:pPr>
        <w:spacing w:after="3" w:line="259" w:lineRule="auto"/>
        <w:ind w:left="19" w:hanging="10"/>
        <w:jc w:val="left"/>
      </w:pPr>
      <w:r>
        <w:rPr>
          <w:sz w:val="28"/>
        </w:rPr>
        <w:t>Inhalt der Benachrichtigung:</w:t>
      </w:r>
    </w:p>
    <w:tbl>
      <w:tblPr>
        <w:tblStyle w:val="TableGrid"/>
        <w:tblW w:w="7844" w:type="dxa"/>
        <w:tblInd w:w="226" w:type="dxa"/>
        <w:tblCellMar>
          <w:top w:w="94" w:type="dxa"/>
          <w:left w:w="5" w:type="dxa"/>
          <w:right w:w="158" w:type="dxa"/>
        </w:tblCellMar>
        <w:tblLook w:val="04A0" w:firstRow="1" w:lastRow="0" w:firstColumn="1" w:lastColumn="0" w:noHBand="0" w:noVBand="1"/>
      </w:tblPr>
      <w:tblGrid>
        <w:gridCol w:w="467"/>
        <w:gridCol w:w="7377"/>
      </w:tblGrid>
      <w:tr w:rsidR="00C66802">
        <w:trPr>
          <w:trHeight w:val="1429"/>
        </w:trPr>
        <w:tc>
          <w:tcPr>
            <w:tcW w:w="451" w:type="dxa"/>
            <w:tcBorders>
              <w:top w:val="single" w:sz="2" w:space="0" w:color="000000"/>
              <w:left w:val="single" w:sz="2" w:space="0" w:color="000000"/>
              <w:bottom w:val="single" w:sz="2" w:space="0" w:color="000000"/>
              <w:right w:val="nil"/>
            </w:tcBorders>
          </w:tcPr>
          <w:p w:rsidR="00C66802" w:rsidRDefault="00B62BA1">
            <w:pPr>
              <w:spacing w:after="358" w:line="259" w:lineRule="auto"/>
              <w:ind w:left="125" w:firstLine="0"/>
              <w:jc w:val="left"/>
            </w:pPr>
            <w:r>
              <w:t>1</w:t>
            </w:r>
          </w:p>
          <w:p w:rsidR="00C66802" w:rsidRDefault="00B62BA1">
            <w:pPr>
              <w:spacing w:after="0" w:line="259" w:lineRule="auto"/>
              <w:ind w:left="106" w:firstLine="0"/>
              <w:jc w:val="left"/>
            </w:pPr>
            <w:r>
              <w:t>2.</w:t>
            </w:r>
          </w:p>
        </w:tc>
        <w:tc>
          <w:tcPr>
            <w:tcW w:w="7392" w:type="dxa"/>
            <w:tcBorders>
              <w:top w:val="single" w:sz="2" w:space="0" w:color="000000"/>
              <w:left w:val="nil"/>
              <w:bottom w:val="single" w:sz="2" w:space="0" w:color="000000"/>
              <w:right w:val="single" w:sz="2" w:space="0" w:color="000000"/>
            </w:tcBorders>
          </w:tcPr>
          <w:p w:rsidR="00C66802" w:rsidRDefault="00B62BA1">
            <w:pPr>
              <w:spacing w:after="9" w:line="255" w:lineRule="auto"/>
              <w:ind w:left="14" w:firstLine="0"/>
              <w:jc w:val="left"/>
            </w:pPr>
            <w:r>
              <w:t xml:space="preserve">Beschreibung der Art der </w:t>
            </w:r>
            <w:r w:rsidR="00DD666A">
              <w:t>Schutzverletzung</w:t>
            </w:r>
            <w:r>
              <w:t xml:space="preserve"> in klarer und einfacher Sprache,</w:t>
            </w:r>
          </w:p>
          <w:p w:rsidR="00C66802" w:rsidRDefault="00B62BA1">
            <w:pPr>
              <w:spacing w:after="0" w:line="259" w:lineRule="auto"/>
              <w:ind w:left="0" w:firstLine="14"/>
            </w:pPr>
            <w:r>
              <w:rPr>
                <w:sz w:val="24"/>
              </w:rPr>
              <w:t>Name und Kontaktdaten des Datenschutzbeauftragten oder einer sonstigen Anlaufstelle für weitere Informationen,</w:t>
            </w:r>
          </w:p>
        </w:tc>
      </w:tr>
    </w:tbl>
    <w:p w:rsidR="00C66802" w:rsidRDefault="00B62BA1">
      <w:pPr>
        <w:numPr>
          <w:ilvl w:val="0"/>
          <w:numId w:val="1"/>
        </w:numPr>
        <w:pBdr>
          <w:top w:val="single" w:sz="4" w:space="0" w:color="000000"/>
          <w:left w:val="single" w:sz="12" w:space="0" w:color="000000"/>
          <w:bottom w:val="single" w:sz="6" w:space="0" w:color="000000"/>
          <w:right w:val="single" w:sz="15" w:space="0" w:color="000000"/>
        </w:pBdr>
        <w:spacing w:after="25" w:line="235" w:lineRule="auto"/>
        <w:ind w:hanging="350"/>
      </w:pPr>
      <w:r>
        <w:t>Beschreibung der wahrscheinlichen Folgen d</w:t>
      </w:r>
      <w:r w:rsidR="00DD666A">
        <w:t>urch die Schutzv</w:t>
      </w:r>
      <w:r>
        <w:t>erletzung</w:t>
      </w:r>
      <w:r w:rsidR="00DD666A">
        <w:t>,</w:t>
      </w:r>
      <w:r>
        <w:t xml:space="preserve"> </w:t>
      </w:r>
    </w:p>
    <w:p w:rsidR="00C66802" w:rsidRDefault="00B62BA1">
      <w:pPr>
        <w:numPr>
          <w:ilvl w:val="0"/>
          <w:numId w:val="1"/>
        </w:numPr>
        <w:pBdr>
          <w:top w:val="single" w:sz="4" w:space="0" w:color="000000"/>
          <w:left w:val="single" w:sz="12" w:space="0" w:color="000000"/>
          <w:bottom w:val="single" w:sz="6" w:space="0" w:color="000000"/>
          <w:right w:val="single" w:sz="15" w:space="0" w:color="000000"/>
        </w:pBdr>
        <w:spacing w:after="345" w:line="235" w:lineRule="auto"/>
        <w:ind w:hanging="350"/>
      </w:pPr>
      <w:r>
        <w:t xml:space="preserve">Beschreibung der von der </w:t>
      </w:r>
      <w:r w:rsidR="00DD666A">
        <w:t>Schule</w:t>
      </w:r>
      <w:r>
        <w:t xml:space="preserve"> ergriffenen oder vorgeschlagenen Maßnahmen zur Behebung </w:t>
      </w:r>
      <w:r w:rsidR="006C24FE">
        <w:t>des Schadens.</w:t>
      </w:r>
    </w:p>
    <w:p w:rsidR="00C66802" w:rsidRDefault="00C66802">
      <w:pPr>
        <w:spacing w:after="3" w:line="259" w:lineRule="auto"/>
        <w:ind w:left="19" w:hanging="10"/>
        <w:jc w:val="left"/>
      </w:pPr>
    </w:p>
    <w:tbl>
      <w:tblPr>
        <w:tblStyle w:val="TableGrid"/>
        <w:tblW w:w="8121" w:type="dxa"/>
        <w:tblInd w:w="-40" w:type="dxa"/>
        <w:tblCellMar>
          <w:top w:w="35" w:type="dxa"/>
          <w:left w:w="45" w:type="dxa"/>
          <w:right w:w="31" w:type="dxa"/>
        </w:tblCellMar>
        <w:tblLook w:val="04A0" w:firstRow="1" w:lastRow="0" w:firstColumn="1" w:lastColumn="0" w:noHBand="0" w:noVBand="1"/>
      </w:tblPr>
      <w:tblGrid>
        <w:gridCol w:w="8121"/>
      </w:tblGrid>
      <w:tr w:rsidR="00C66802">
        <w:trPr>
          <w:trHeight w:val="2425"/>
        </w:trPr>
        <w:tc>
          <w:tcPr>
            <w:tcW w:w="8121" w:type="dxa"/>
            <w:tcBorders>
              <w:top w:val="single" w:sz="2" w:space="0" w:color="000000"/>
              <w:left w:val="single" w:sz="2" w:space="0" w:color="000000"/>
              <w:bottom w:val="single" w:sz="2" w:space="0" w:color="000000"/>
              <w:right w:val="single" w:sz="2" w:space="0" w:color="000000"/>
            </w:tcBorders>
          </w:tcPr>
          <w:p w:rsidR="00C66802" w:rsidRDefault="00B62BA1">
            <w:pPr>
              <w:spacing w:after="28" w:line="263" w:lineRule="auto"/>
              <w:ind w:left="0" w:firstLine="10"/>
              <w:jc w:val="left"/>
            </w:pPr>
            <w:r>
              <w:t xml:space="preserve">Die </w:t>
            </w:r>
            <w:r w:rsidRPr="006C24FE">
              <w:rPr>
                <w:highlight w:val="yellow"/>
              </w:rPr>
              <w:t>Meldung an die Aufsichtsbehörde</w:t>
            </w:r>
            <w:r>
              <w:t xml:space="preserve"> bei Datenpannen hat immer zu erfolgen, es sei denn, dass die Datenpanne voraussichtlich nicht zu einem Risiko für die betroffene Person führt.</w:t>
            </w:r>
          </w:p>
          <w:p w:rsidR="00235F04" w:rsidRDefault="00235F04">
            <w:pPr>
              <w:spacing w:after="28" w:line="263" w:lineRule="auto"/>
              <w:ind w:left="0" w:firstLine="10"/>
              <w:jc w:val="left"/>
            </w:pPr>
          </w:p>
          <w:p w:rsidR="00235F04" w:rsidRDefault="00235F04">
            <w:pPr>
              <w:spacing w:after="28" w:line="263" w:lineRule="auto"/>
              <w:ind w:left="0" w:firstLine="10"/>
              <w:jc w:val="left"/>
            </w:pPr>
            <w:r>
              <w:t>Beispiel:</w:t>
            </w:r>
          </w:p>
          <w:p w:rsidR="006C24FE" w:rsidRDefault="00235F04">
            <w:pPr>
              <w:spacing w:after="28" w:line="263" w:lineRule="auto"/>
              <w:ind w:left="0" w:firstLine="10"/>
              <w:jc w:val="left"/>
            </w:pPr>
            <w:r>
              <w:t>Die Lehrkraft verliert einen Stick, auf dem personenbezogene Daten von Schülern gespeichert sind. Ist dieser Stick verschlüsselt, so kann man davon ausgehen, dass das Risiko für die betroffenen Personen, deren Daten auf dem Datenträger gespeichert sind, gering und eine Meldung an die Aufsichtsbehörde nicht erforderlich ist. War der Stick jedoch nicht verschlüsselt, muss eine Meldung erfolgen.</w:t>
            </w:r>
          </w:p>
          <w:p w:rsidR="00235F04" w:rsidRDefault="00235F04">
            <w:pPr>
              <w:spacing w:after="28" w:line="263" w:lineRule="auto"/>
              <w:ind w:left="0" w:firstLine="10"/>
              <w:jc w:val="left"/>
            </w:pPr>
            <w:r>
              <w:t xml:space="preserve"> </w:t>
            </w:r>
          </w:p>
          <w:p w:rsidR="00C66802" w:rsidRDefault="00B62BA1">
            <w:pPr>
              <w:spacing w:after="7" w:line="254" w:lineRule="auto"/>
              <w:ind w:left="0" w:firstLine="10"/>
            </w:pPr>
            <w:r>
              <w:t xml:space="preserve">Die </w:t>
            </w:r>
            <w:r w:rsidRPr="006C24FE">
              <w:rPr>
                <w:highlight w:val="yellow"/>
              </w:rPr>
              <w:t>Benachrichtigung der betroffenen Person</w:t>
            </w:r>
            <w:r>
              <w:t xml:space="preserve"> muss jedoch nur </w:t>
            </w:r>
            <w:r w:rsidR="00235F04">
              <w:t>dann erfolgen. wenn ein hohes Ri</w:t>
            </w:r>
            <w:r>
              <w:t>siko für deren Rechte und Freiheiten besteht.</w:t>
            </w:r>
          </w:p>
          <w:p w:rsidR="006C24FE" w:rsidRDefault="006C24FE" w:rsidP="00235F04">
            <w:pPr>
              <w:spacing w:after="0" w:line="259" w:lineRule="auto"/>
              <w:ind w:left="0" w:firstLine="0"/>
            </w:pPr>
          </w:p>
          <w:p w:rsidR="00C66802" w:rsidRDefault="00B62BA1" w:rsidP="00235F04">
            <w:pPr>
              <w:spacing w:after="0" w:line="259" w:lineRule="auto"/>
              <w:ind w:left="0" w:firstLine="0"/>
            </w:pPr>
            <w:r>
              <w:t xml:space="preserve">Der </w:t>
            </w:r>
            <w:r w:rsidR="00235F04">
              <w:t xml:space="preserve">Hessische Beauftragte für Datenschutz und Informationsfreiheit </w:t>
            </w:r>
            <w:r>
              <w:t xml:space="preserve"> hat auf seiner Homepage ein elektronisches Formular </w:t>
            </w:r>
            <w:r w:rsidR="00235F04">
              <w:t xml:space="preserve">für die </w:t>
            </w:r>
            <w:r>
              <w:t xml:space="preserve"> Me</w:t>
            </w:r>
            <w:r w:rsidR="00235F04">
              <w:t>l</w:t>
            </w:r>
            <w:r>
              <w:t>dung bereit</w:t>
            </w:r>
            <w:r w:rsidR="00235F04">
              <w:t>gestellt.</w:t>
            </w:r>
          </w:p>
        </w:tc>
      </w:tr>
    </w:tbl>
    <w:p w:rsidR="00B62BA1" w:rsidRDefault="00B62BA1"/>
    <w:sectPr w:rsidR="00B62BA1">
      <w:pgSz w:w="11900" w:h="16820"/>
      <w:pgMar w:top="1007" w:right="2338" w:bottom="1075" w:left="16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0A42"/>
    <w:multiLevelType w:val="hybridMultilevel"/>
    <w:tmpl w:val="E2C8C550"/>
    <w:lvl w:ilvl="0" w:tplc="07721DF0">
      <w:start w:val="2"/>
      <w:numFmt w:val="decimal"/>
      <w:lvlText w:val="%1."/>
      <w:lvlJc w:val="left"/>
      <w:pPr>
        <w:ind w:left="0"/>
      </w:pPr>
      <w:rPr>
        <w:rFonts w:ascii="Calibri" w:eastAsia="Calibri" w:hAnsi="Calibri" w:cs="Calibri"/>
        <w:b w:val="0"/>
        <w:i w:val="0"/>
        <w:strike w:val="0"/>
        <w:dstrike w:val="0"/>
        <w:color w:val="4472C4" w:themeColor="accent5"/>
        <w:sz w:val="28"/>
        <w:szCs w:val="28"/>
        <w:u w:val="none" w:color="000000"/>
        <w:bdr w:val="none" w:sz="0" w:space="0" w:color="auto"/>
        <w:shd w:val="clear" w:color="auto" w:fill="auto"/>
        <w:vertAlign w:val="baseline"/>
      </w:rPr>
    </w:lvl>
    <w:lvl w:ilvl="1" w:tplc="B7CA628E">
      <w:start w:val="1"/>
      <w:numFmt w:val="lowerLetter"/>
      <w:lvlText w:val="%2"/>
      <w:lvlJc w:val="left"/>
      <w:pPr>
        <w:ind w:left="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6A22C1A">
      <w:start w:val="1"/>
      <w:numFmt w:val="lowerRoman"/>
      <w:lvlText w:val="%3"/>
      <w:lvlJc w:val="left"/>
      <w:pPr>
        <w:ind w:left="1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5B61262">
      <w:start w:val="1"/>
      <w:numFmt w:val="decimal"/>
      <w:lvlText w:val="%4"/>
      <w:lvlJc w:val="left"/>
      <w:pPr>
        <w:ind w:left="20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6740002">
      <w:start w:val="1"/>
      <w:numFmt w:val="lowerLetter"/>
      <w:lvlText w:val="%5"/>
      <w:lvlJc w:val="left"/>
      <w:pPr>
        <w:ind w:left="27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67C7632">
      <w:start w:val="1"/>
      <w:numFmt w:val="lowerRoman"/>
      <w:lvlText w:val="%6"/>
      <w:lvlJc w:val="left"/>
      <w:pPr>
        <w:ind w:left="34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B4C95A2">
      <w:start w:val="1"/>
      <w:numFmt w:val="decimal"/>
      <w:lvlText w:val="%7"/>
      <w:lvlJc w:val="left"/>
      <w:pPr>
        <w:ind w:left="4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F24C170">
      <w:start w:val="1"/>
      <w:numFmt w:val="lowerLetter"/>
      <w:lvlText w:val="%8"/>
      <w:lvlJc w:val="left"/>
      <w:pPr>
        <w:ind w:left="4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794FE1A">
      <w:start w:val="1"/>
      <w:numFmt w:val="lowerRoman"/>
      <w:lvlText w:val="%9"/>
      <w:lvlJc w:val="left"/>
      <w:pPr>
        <w:ind w:left="5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02"/>
    <w:rsid w:val="00192D77"/>
    <w:rsid w:val="001A6AEC"/>
    <w:rsid w:val="00235F04"/>
    <w:rsid w:val="006C24FE"/>
    <w:rsid w:val="008D7C8E"/>
    <w:rsid w:val="00914BF9"/>
    <w:rsid w:val="00B62BA1"/>
    <w:rsid w:val="00C66802"/>
    <w:rsid w:val="00D53B59"/>
    <w:rsid w:val="00D80DAE"/>
    <w:rsid w:val="00DD666A"/>
    <w:rsid w:val="00EF555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1" w:line="269" w:lineRule="auto"/>
      <w:ind w:left="43" w:firstLine="9"/>
      <w:jc w:val="both"/>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1A6A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AE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1" w:line="269" w:lineRule="auto"/>
      <w:ind w:left="43" w:firstLine="9"/>
      <w:jc w:val="both"/>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1A6A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AE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KOP02-20180504142334</vt:lpstr>
    </vt:vector>
  </TitlesOfParts>
  <Company>Land Hessen</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KOP02-20180504142334</dc:title>
  <dc:subject/>
  <dc:creator>Veit, Michael (HDSB)</dc:creator>
  <cp:keywords/>
  <cp:lastModifiedBy>Fortbildung</cp:lastModifiedBy>
  <cp:revision>3</cp:revision>
  <dcterms:created xsi:type="dcterms:W3CDTF">2019-07-25T14:27:00Z</dcterms:created>
  <dcterms:modified xsi:type="dcterms:W3CDTF">2019-11-08T09:38:00Z</dcterms:modified>
</cp:coreProperties>
</file>